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156" w:rsidRPr="00011156" w:rsidRDefault="00011156" w:rsidP="00011156">
      <w:pPr>
        <w:spacing w:after="480"/>
        <w:jc w:val="center"/>
        <w:rPr>
          <w:b/>
          <w:caps/>
          <w:sz w:val="24"/>
          <w:szCs w:val="24"/>
        </w:rPr>
      </w:pPr>
      <w:r w:rsidRPr="00011156">
        <w:rPr>
          <w:b/>
          <w:caps/>
          <w:sz w:val="24"/>
          <w:szCs w:val="24"/>
        </w:rPr>
        <w:t>Docket No. 46494</w:t>
      </w:r>
    </w:p>
    <w:tbl>
      <w:tblPr>
        <w:tblW w:w="0" w:type="auto"/>
        <w:jc w:val="center"/>
        <w:tblLayout w:type="fixed"/>
        <w:tblLook w:val="01E0" w:firstRow="1" w:lastRow="1" w:firstColumn="1" w:lastColumn="1" w:noHBand="0" w:noVBand="0"/>
      </w:tblPr>
      <w:tblGrid>
        <w:gridCol w:w="4493"/>
        <w:gridCol w:w="360"/>
        <w:gridCol w:w="4493"/>
      </w:tblGrid>
      <w:tr w:rsidR="00011156" w:rsidRPr="007066A4" w:rsidTr="006A6948">
        <w:trPr>
          <w:jc w:val="center"/>
        </w:trPr>
        <w:tc>
          <w:tcPr>
            <w:tcW w:w="4493" w:type="dxa"/>
          </w:tcPr>
          <w:p w:rsidR="00011156" w:rsidRPr="00011156" w:rsidRDefault="00011156" w:rsidP="003E2765">
            <w:pPr>
              <w:rPr>
                <w:rFonts w:eastAsia="SimSun"/>
                <w:b/>
                <w:caps/>
                <w:sz w:val="24"/>
                <w:szCs w:val="24"/>
              </w:rPr>
            </w:pPr>
            <w:r w:rsidRPr="00011156">
              <w:rPr>
                <w:rFonts w:eastAsia="SimSun"/>
                <w:b/>
                <w:caps/>
                <w:sz w:val="24"/>
                <w:szCs w:val="24"/>
              </w:rPr>
              <w:t>APPLICATION OF WIEDENFELD WATER WORKS, INC. AND SWWC UTILITIES, INC. dba WATER SERVICES, INC. FOR APPROVAL OF INTER-COMPANY TRANSFER OF ASSETS</w:t>
            </w:r>
          </w:p>
        </w:tc>
        <w:tc>
          <w:tcPr>
            <w:tcW w:w="360" w:type="dxa"/>
          </w:tcPr>
          <w:p w:rsidR="00011156" w:rsidRPr="00011156" w:rsidRDefault="00011156" w:rsidP="003E2765">
            <w:pPr>
              <w:rPr>
                <w:rStyle w:val="StyleBold"/>
                <w:rFonts w:eastAsia="SimSun"/>
                <w:sz w:val="24"/>
                <w:szCs w:val="24"/>
              </w:rPr>
            </w:pPr>
            <w:r w:rsidRPr="00011156">
              <w:rPr>
                <w:rStyle w:val="StyleBold"/>
                <w:rFonts w:eastAsia="SimSun"/>
                <w:sz w:val="24"/>
                <w:szCs w:val="24"/>
              </w:rPr>
              <w:t>§</w:t>
            </w:r>
          </w:p>
          <w:p w:rsidR="00011156" w:rsidRPr="00011156" w:rsidRDefault="00011156" w:rsidP="003E2765">
            <w:pPr>
              <w:rPr>
                <w:rStyle w:val="StyleBold"/>
                <w:rFonts w:eastAsia="SimSun"/>
                <w:sz w:val="24"/>
                <w:szCs w:val="24"/>
              </w:rPr>
            </w:pPr>
            <w:r w:rsidRPr="00011156">
              <w:rPr>
                <w:rStyle w:val="StyleBold"/>
                <w:rFonts w:eastAsia="SimSun"/>
                <w:sz w:val="24"/>
                <w:szCs w:val="24"/>
              </w:rPr>
              <w:t>§</w:t>
            </w:r>
          </w:p>
          <w:p w:rsidR="00011156" w:rsidRPr="00011156" w:rsidRDefault="00011156" w:rsidP="003E2765">
            <w:pPr>
              <w:rPr>
                <w:rStyle w:val="StyleBold"/>
                <w:rFonts w:eastAsia="SimSun"/>
                <w:sz w:val="24"/>
                <w:szCs w:val="24"/>
              </w:rPr>
            </w:pPr>
            <w:r w:rsidRPr="00011156">
              <w:rPr>
                <w:rStyle w:val="StyleBold"/>
                <w:rFonts w:eastAsia="SimSun"/>
                <w:sz w:val="24"/>
                <w:szCs w:val="24"/>
              </w:rPr>
              <w:t>§</w:t>
            </w:r>
          </w:p>
          <w:p w:rsidR="00011156" w:rsidRPr="00011156" w:rsidRDefault="00011156" w:rsidP="003E2765">
            <w:pPr>
              <w:rPr>
                <w:rStyle w:val="StyleBold"/>
                <w:rFonts w:eastAsia="SimSun"/>
                <w:sz w:val="24"/>
                <w:szCs w:val="24"/>
              </w:rPr>
            </w:pPr>
            <w:r w:rsidRPr="00011156">
              <w:rPr>
                <w:rStyle w:val="StyleBold"/>
                <w:rFonts w:eastAsia="SimSun"/>
                <w:sz w:val="24"/>
                <w:szCs w:val="24"/>
              </w:rPr>
              <w:t>§</w:t>
            </w:r>
          </w:p>
          <w:p w:rsidR="00011156" w:rsidRPr="00011156" w:rsidRDefault="00011156" w:rsidP="003E2765">
            <w:pPr>
              <w:rPr>
                <w:rStyle w:val="StyleBold"/>
                <w:rFonts w:eastAsia="SimSun"/>
                <w:sz w:val="24"/>
                <w:szCs w:val="24"/>
              </w:rPr>
            </w:pPr>
            <w:r w:rsidRPr="00011156">
              <w:rPr>
                <w:rStyle w:val="StyleBold"/>
                <w:rFonts w:eastAsia="SimSun"/>
                <w:sz w:val="24"/>
                <w:szCs w:val="24"/>
              </w:rPr>
              <w:t>§</w:t>
            </w:r>
          </w:p>
          <w:p w:rsidR="00011156" w:rsidRPr="00011156" w:rsidRDefault="00011156" w:rsidP="003E2765">
            <w:pPr>
              <w:rPr>
                <w:rFonts w:eastAsia="SimSun"/>
                <w:b/>
                <w:bCs/>
                <w:caps/>
                <w:sz w:val="24"/>
                <w:szCs w:val="24"/>
              </w:rPr>
            </w:pPr>
            <w:r w:rsidRPr="00011156">
              <w:rPr>
                <w:rStyle w:val="StyleBold"/>
                <w:rFonts w:eastAsia="SimSun"/>
                <w:sz w:val="24"/>
                <w:szCs w:val="24"/>
              </w:rPr>
              <w:t>§</w:t>
            </w:r>
          </w:p>
        </w:tc>
        <w:tc>
          <w:tcPr>
            <w:tcW w:w="4493" w:type="dxa"/>
          </w:tcPr>
          <w:p w:rsidR="00011156" w:rsidRPr="00011156" w:rsidRDefault="00011156" w:rsidP="003E2765">
            <w:pPr>
              <w:jc w:val="center"/>
              <w:rPr>
                <w:rFonts w:eastAsia="SimSun"/>
                <w:b/>
                <w:caps/>
                <w:sz w:val="24"/>
                <w:szCs w:val="24"/>
              </w:rPr>
            </w:pPr>
            <w:r w:rsidRPr="00011156">
              <w:rPr>
                <w:rFonts w:eastAsia="SimSun"/>
                <w:b/>
                <w:caps/>
                <w:sz w:val="24"/>
                <w:szCs w:val="24"/>
              </w:rPr>
              <w:t>Public Utility Commission</w:t>
            </w:r>
          </w:p>
          <w:p w:rsidR="00011156" w:rsidRPr="00011156" w:rsidRDefault="00011156" w:rsidP="003E2765">
            <w:pPr>
              <w:jc w:val="center"/>
              <w:rPr>
                <w:rFonts w:eastAsia="SimSun"/>
                <w:b/>
                <w:caps/>
                <w:sz w:val="24"/>
                <w:szCs w:val="24"/>
              </w:rPr>
            </w:pPr>
          </w:p>
          <w:p w:rsidR="00011156" w:rsidRPr="00011156" w:rsidRDefault="00011156" w:rsidP="003E2765">
            <w:pPr>
              <w:jc w:val="center"/>
              <w:rPr>
                <w:rFonts w:eastAsia="SimSun"/>
                <w:sz w:val="24"/>
                <w:szCs w:val="24"/>
              </w:rPr>
            </w:pPr>
            <w:r w:rsidRPr="00011156">
              <w:rPr>
                <w:rFonts w:eastAsia="SimSun"/>
                <w:b/>
                <w:caps/>
                <w:sz w:val="24"/>
                <w:szCs w:val="24"/>
              </w:rPr>
              <w:t>of Texas</w:t>
            </w:r>
          </w:p>
        </w:tc>
      </w:tr>
    </w:tbl>
    <w:p w:rsidR="00011156" w:rsidRPr="00011156" w:rsidRDefault="00011156" w:rsidP="00011156">
      <w:pPr>
        <w:spacing w:before="480" w:after="360"/>
        <w:jc w:val="center"/>
        <w:rPr>
          <w:b/>
          <w:sz w:val="24"/>
          <w:szCs w:val="24"/>
        </w:rPr>
      </w:pPr>
      <w:r w:rsidRPr="00011156">
        <w:rPr>
          <w:b/>
          <w:sz w:val="24"/>
          <w:szCs w:val="24"/>
        </w:rPr>
        <w:t>NOTICE OF APPROVAL</w:t>
      </w:r>
    </w:p>
    <w:p w:rsidR="007A5C84" w:rsidRDefault="007A5C84" w:rsidP="006A6948">
      <w:pPr>
        <w:kinsoku w:val="0"/>
        <w:overflowPunct w:val="0"/>
        <w:autoSpaceDE/>
        <w:autoSpaceDN/>
        <w:adjustRightInd/>
        <w:spacing w:before="120" w:line="360" w:lineRule="auto"/>
        <w:ind w:firstLine="720"/>
        <w:jc w:val="both"/>
        <w:textAlignment w:val="baseline"/>
        <w:rPr>
          <w:spacing w:val="-2"/>
          <w:sz w:val="24"/>
          <w:szCs w:val="24"/>
        </w:rPr>
      </w:pPr>
      <w:r>
        <w:rPr>
          <w:spacing w:val="-2"/>
          <w:sz w:val="24"/>
          <w:szCs w:val="24"/>
        </w:rPr>
        <w:t xml:space="preserve">This Notice addresses the application by Wiedenfeld Water Works, Inc. (Wiedenfeld) and SWWC Utilities, Inc. d/b/a Water Services, Inc. (SWWC) for the sale, transfer, or merger of facilities and amendment of certificate rights in Kendall, Kerr, and Medina Counties. </w:t>
      </w:r>
      <w:r w:rsidR="002B5590">
        <w:rPr>
          <w:spacing w:val="-2"/>
          <w:sz w:val="24"/>
          <w:szCs w:val="24"/>
        </w:rPr>
        <w:t xml:space="preserve"> </w:t>
      </w:r>
      <w:r>
        <w:rPr>
          <w:spacing w:val="-2"/>
          <w:sz w:val="24"/>
          <w:szCs w:val="24"/>
        </w:rPr>
        <w:t>Commission Staff recommend</w:t>
      </w:r>
      <w:r w:rsidR="00DF46E4">
        <w:rPr>
          <w:spacing w:val="-2"/>
          <w:sz w:val="24"/>
          <w:szCs w:val="24"/>
        </w:rPr>
        <w:t>ed</w:t>
      </w:r>
      <w:r>
        <w:rPr>
          <w:spacing w:val="-2"/>
          <w:sz w:val="24"/>
          <w:szCs w:val="24"/>
        </w:rPr>
        <w:t xml:space="preserve"> approval of the application. </w:t>
      </w:r>
      <w:r w:rsidR="002B5590">
        <w:rPr>
          <w:spacing w:val="-2"/>
          <w:sz w:val="24"/>
          <w:szCs w:val="24"/>
        </w:rPr>
        <w:t xml:space="preserve"> </w:t>
      </w:r>
      <w:r>
        <w:rPr>
          <w:spacing w:val="-2"/>
          <w:sz w:val="24"/>
          <w:szCs w:val="24"/>
        </w:rPr>
        <w:t>The application is approved.</w:t>
      </w:r>
    </w:p>
    <w:p w:rsidR="007A5C84" w:rsidRDefault="002B5590" w:rsidP="006A6948">
      <w:pPr>
        <w:kinsoku w:val="0"/>
        <w:overflowPunct w:val="0"/>
        <w:autoSpaceDE/>
        <w:autoSpaceDN/>
        <w:adjustRightInd/>
        <w:spacing w:before="120" w:line="360" w:lineRule="auto"/>
        <w:jc w:val="both"/>
        <w:textAlignment w:val="baseline"/>
        <w:rPr>
          <w:sz w:val="24"/>
          <w:szCs w:val="24"/>
        </w:rPr>
      </w:pPr>
      <w:r>
        <w:rPr>
          <w:sz w:val="24"/>
          <w:szCs w:val="24"/>
        </w:rPr>
        <w:tab/>
      </w:r>
      <w:r w:rsidR="007A5C84">
        <w:rPr>
          <w:sz w:val="24"/>
          <w:szCs w:val="24"/>
        </w:rPr>
        <w:t xml:space="preserve">The Commission adopts the following </w:t>
      </w:r>
      <w:r w:rsidR="00870BC4">
        <w:rPr>
          <w:sz w:val="24"/>
          <w:szCs w:val="24"/>
        </w:rPr>
        <w:t>findings of fact and conclusions of law</w:t>
      </w:r>
      <w:r w:rsidR="007A5C84">
        <w:rPr>
          <w:sz w:val="24"/>
          <w:szCs w:val="24"/>
        </w:rPr>
        <w:t>:</w:t>
      </w:r>
    </w:p>
    <w:p w:rsidR="007A5C84" w:rsidRPr="002B5590" w:rsidRDefault="007A5C84" w:rsidP="002B5590">
      <w:pPr>
        <w:kinsoku w:val="0"/>
        <w:overflowPunct w:val="0"/>
        <w:autoSpaceDE/>
        <w:autoSpaceDN/>
        <w:adjustRightInd/>
        <w:spacing w:before="360" w:after="240"/>
        <w:jc w:val="center"/>
        <w:textAlignment w:val="baseline"/>
        <w:rPr>
          <w:b/>
          <w:spacing w:val="1"/>
          <w:sz w:val="24"/>
          <w:szCs w:val="24"/>
        </w:rPr>
      </w:pPr>
      <w:r w:rsidRPr="002B5590">
        <w:rPr>
          <w:b/>
          <w:spacing w:val="1"/>
          <w:sz w:val="24"/>
          <w:szCs w:val="24"/>
        </w:rPr>
        <w:t>I.</w:t>
      </w:r>
      <w:r w:rsidR="002B5590">
        <w:rPr>
          <w:b/>
          <w:spacing w:val="1"/>
          <w:sz w:val="24"/>
          <w:szCs w:val="24"/>
        </w:rPr>
        <w:t xml:space="preserve">  </w:t>
      </w:r>
      <w:r w:rsidRPr="002B5590">
        <w:rPr>
          <w:b/>
          <w:spacing w:val="1"/>
          <w:sz w:val="24"/>
          <w:szCs w:val="24"/>
        </w:rPr>
        <w:t>Findings of Fact</w:t>
      </w:r>
    </w:p>
    <w:p w:rsidR="007A5C84" w:rsidRDefault="007A5C84" w:rsidP="002B5590">
      <w:pPr>
        <w:kinsoku w:val="0"/>
        <w:overflowPunct w:val="0"/>
        <w:autoSpaceDE/>
        <w:autoSpaceDN/>
        <w:adjustRightInd/>
        <w:spacing w:before="120" w:line="360" w:lineRule="auto"/>
        <w:jc w:val="both"/>
        <w:textAlignment w:val="baseline"/>
        <w:rPr>
          <w:b/>
          <w:bCs/>
          <w:i/>
          <w:iCs/>
          <w:spacing w:val="3"/>
          <w:sz w:val="24"/>
          <w:szCs w:val="24"/>
          <w:u w:val="single"/>
        </w:rPr>
      </w:pPr>
      <w:r>
        <w:rPr>
          <w:b/>
          <w:bCs/>
          <w:i/>
          <w:iCs/>
          <w:spacing w:val="3"/>
          <w:sz w:val="24"/>
          <w:szCs w:val="24"/>
          <w:u w:val="single"/>
        </w:rPr>
        <w:t>Procedural History</w:t>
      </w:r>
    </w:p>
    <w:p w:rsidR="007A5C84" w:rsidRDefault="007A5C84" w:rsidP="002B5590">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October 28, 2016, Wiedenfeld and SWCC filed an application for the inter</w:t>
      </w:r>
      <w:r w:rsidR="007C3A07">
        <w:rPr>
          <w:sz w:val="24"/>
          <w:szCs w:val="24"/>
        </w:rPr>
        <w:t>-</w:t>
      </w:r>
      <w:r>
        <w:rPr>
          <w:sz w:val="24"/>
          <w:szCs w:val="24"/>
        </w:rPr>
        <w:t>company transfer of Wiedenfeld</w:t>
      </w:r>
      <w:r w:rsidR="002B5590">
        <w:rPr>
          <w:sz w:val="24"/>
          <w:szCs w:val="24"/>
        </w:rPr>
        <w:t>’</w:t>
      </w:r>
      <w:r>
        <w:rPr>
          <w:sz w:val="24"/>
          <w:szCs w:val="24"/>
        </w:rPr>
        <w:t>s assets in Kendall, Kerr, and Medina Counties to SWWC, amending SWWC</w:t>
      </w:r>
      <w:r w:rsidR="002B5590">
        <w:rPr>
          <w:sz w:val="24"/>
          <w:szCs w:val="24"/>
        </w:rPr>
        <w:t>’</w:t>
      </w:r>
      <w:r>
        <w:rPr>
          <w:sz w:val="24"/>
          <w:szCs w:val="24"/>
        </w:rPr>
        <w:t>s water certificate of convenience and necessity No. 11106, and cancelling Wiedenfeld</w:t>
      </w:r>
      <w:r w:rsidR="002B5590">
        <w:rPr>
          <w:sz w:val="24"/>
          <w:szCs w:val="24"/>
        </w:rPr>
        <w:t>’</w:t>
      </w:r>
      <w:r>
        <w:rPr>
          <w:sz w:val="24"/>
          <w:szCs w:val="24"/>
        </w:rPr>
        <w:t>s water CCN No. 12052.</w:t>
      </w:r>
    </w:p>
    <w:p w:rsidR="007A5C84" w:rsidRDefault="007A5C84" w:rsidP="002B5590">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30, 2016, Order No. 2 was issued, deeming the application administratively complete.</w:t>
      </w:r>
    </w:p>
    <w:p w:rsidR="007A5C84" w:rsidRDefault="007A5C84" w:rsidP="002B5590">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December 21, 2016, Order No. 3 was issued, finding the notice sufficient and complete.</w:t>
      </w:r>
    </w:p>
    <w:p w:rsidR="007A5C84" w:rsidRDefault="007A5C84" w:rsidP="002B5590">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February 8, 2017, Commission Staff recommended that SWWC demonstrate</w:t>
      </w:r>
      <w:r w:rsidR="00544F3C">
        <w:rPr>
          <w:sz w:val="24"/>
          <w:szCs w:val="24"/>
        </w:rPr>
        <w:t>d</w:t>
      </w:r>
      <w:r>
        <w:rPr>
          <w:sz w:val="24"/>
          <w:szCs w:val="24"/>
        </w:rPr>
        <w:t xml:space="preserve"> adequate financial, managerial, and technical capability to provide service to the area subject to this </w:t>
      </w:r>
      <w:r w:rsidR="007C3A07">
        <w:rPr>
          <w:sz w:val="24"/>
          <w:szCs w:val="24"/>
        </w:rPr>
        <w:t>a</w:t>
      </w:r>
      <w:r>
        <w:rPr>
          <w:sz w:val="24"/>
          <w:szCs w:val="24"/>
        </w:rPr>
        <w:t xml:space="preserve">pplication and that </w:t>
      </w:r>
      <w:r w:rsidR="007C3A07">
        <w:rPr>
          <w:sz w:val="24"/>
          <w:szCs w:val="24"/>
        </w:rPr>
        <w:t>a</w:t>
      </w:r>
      <w:r>
        <w:rPr>
          <w:sz w:val="24"/>
          <w:szCs w:val="24"/>
        </w:rPr>
        <w:t>pplicants be allowed to proceed with the proposed transaction.</w:t>
      </w:r>
    </w:p>
    <w:p w:rsidR="007A5C84" w:rsidRDefault="007A5C84" w:rsidP="002B5590">
      <w:pPr>
        <w:numPr>
          <w:ilvl w:val="0"/>
          <w:numId w:val="2"/>
        </w:numPr>
        <w:kinsoku w:val="0"/>
        <w:overflowPunct w:val="0"/>
        <w:autoSpaceDE/>
        <w:autoSpaceDN/>
        <w:adjustRightInd/>
        <w:spacing w:before="120" w:line="360" w:lineRule="auto"/>
        <w:ind w:hanging="720"/>
        <w:jc w:val="both"/>
        <w:textAlignment w:val="baseline"/>
        <w:rPr>
          <w:sz w:val="24"/>
          <w:szCs w:val="24"/>
        </w:rPr>
      </w:pPr>
      <w:r>
        <w:rPr>
          <w:sz w:val="24"/>
          <w:szCs w:val="24"/>
        </w:rPr>
        <w:lastRenderedPageBreak/>
        <w:t>On February 14, 2017, Order No. 4 was issued, authorizing the proposed transaction to proceed.</w:t>
      </w:r>
    </w:p>
    <w:p w:rsidR="006A6948" w:rsidRDefault="007A5C84" w:rsidP="00283B9E">
      <w:pPr>
        <w:numPr>
          <w:ilvl w:val="0"/>
          <w:numId w:val="2"/>
        </w:numPr>
        <w:kinsoku w:val="0"/>
        <w:overflowPunct w:val="0"/>
        <w:autoSpaceDE/>
        <w:autoSpaceDN/>
        <w:adjustRightInd/>
        <w:spacing w:before="120" w:line="360" w:lineRule="auto"/>
        <w:ind w:hanging="720"/>
        <w:jc w:val="both"/>
        <w:textAlignment w:val="baseline"/>
        <w:rPr>
          <w:sz w:val="24"/>
          <w:szCs w:val="24"/>
        </w:rPr>
      </w:pPr>
      <w:r w:rsidRPr="006A6948">
        <w:rPr>
          <w:sz w:val="24"/>
          <w:szCs w:val="24"/>
        </w:rPr>
        <w:t xml:space="preserve">On March 2, 2017, the </w:t>
      </w:r>
      <w:r w:rsidR="002B5590" w:rsidRPr="006A6948">
        <w:rPr>
          <w:sz w:val="24"/>
          <w:szCs w:val="24"/>
        </w:rPr>
        <w:t>a</w:t>
      </w:r>
      <w:r w:rsidRPr="006A6948">
        <w:rPr>
          <w:sz w:val="24"/>
          <w:szCs w:val="24"/>
        </w:rPr>
        <w:t>pplicants filed documents indicating that Wiedenfeld</w:t>
      </w:r>
      <w:r w:rsidR="002B5590" w:rsidRPr="006A6948">
        <w:rPr>
          <w:sz w:val="24"/>
          <w:szCs w:val="24"/>
        </w:rPr>
        <w:t>’</w:t>
      </w:r>
      <w:r w:rsidRPr="006A6948">
        <w:rPr>
          <w:sz w:val="24"/>
          <w:szCs w:val="24"/>
        </w:rPr>
        <w:t>s assets had been transferred to SWWC and attesting to the refund of all applicable customer deposits.</w:t>
      </w:r>
    </w:p>
    <w:p w:rsidR="007A5C84" w:rsidRPr="006A6948" w:rsidRDefault="007A5C84" w:rsidP="00283B9E">
      <w:pPr>
        <w:numPr>
          <w:ilvl w:val="0"/>
          <w:numId w:val="2"/>
        </w:numPr>
        <w:kinsoku w:val="0"/>
        <w:overflowPunct w:val="0"/>
        <w:autoSpaceDE/>
        <w:autoSpaceDN/>
        <w:adjustRightInd/>
        <w:spacing w:before="120" w:line="360" w:lineRule="auto"/>
        <w:ind w:hanging="720"/>
        <w:jc w:val="both"/>
        <w:textAlignment w:val="baseline"/>
        <w:rPr>
          <w:sz w:val="24"/>
          <w:szCs w:val="24"/>
        </w:rPr>
      </w:pPr>
      <w:r w:rsidRPr="006A6948">
        <w:rPr>
          <w:sz w:val="24"/>
          <w:szCs w:val="24"/>
        </w:rPr>
        <w:t>On March 17, 2017, Commission Staff filed its recommendation that the sale documents be found sufficient.</w:t>
      </w:r>
    </w:p>
    <w:p w:rsidR="007A5C84" w:rsidRDefault="007A5C84" w:rsidP="002B5590">
      <w:pPr>
        <w:numPr>
          <w:ilvl w:val="0"/>
          <w:numId w:val="2"/>
        </w:numPr>
        <w:kinsoku w:val="0"/>
        <w:overflowPunct w:val="0"/>
        <w:autoSpaceDE/>
        <w:autoSpaceDN/>
        <w:adjustRightInd/>
        <w:spacing w:before="120" w:line="360" w:lineRule="auto"/>
        <w:ind w:hanging="720"/>
        <w:jc w:val="both"/>
        <w:textAlignment w:val="baseline"/>
        <w:rPr>
          <w:sz w:val="24"/>
          <w:szCs w:val="24"/>
        </w:rPr>
      </w:pPr>
      <w:r>
        <w:rPr>
          <w:sz w:val="24"/>
          <w:szCs w:val="24"/>
        </w:rPr>
        <w:t>On March 23, 2017, Order No. 5 was issued, deeming the sale documents sufficient.</w:t>
      </w:r>
    </w:p>
    <w:p w:rsidR="007A5C84" w:rsidRDefault="007A5C84" w:rsidP="002B5590">
      <w:pPr>
        <w:numPr>
          <w:ilvl w:val="0"/>
          <w:numId w:val="2"/>
        </w:numPr>
        <w:kinsoku w:val="0"/>
        <w:overflowPunct w:val="0"/>
        <w:autoSpaceDE/>
        <w:autoSpaceDN/>
        <w:adjustRightInd/>
        <w:spacing w:before="120" w:line="360" w:lineRule="auto"/>
        <w:ind w:hanging="720"/>
        <w:jc w:val="both"/>
        <w:textAlignment w:val="baseline"/>
        <w:rPr>
          <w:sz w:val="24"/>
          <w:szCs w:val="24"/>
        </w:rPr>
      </w:pPr>
      <w:r>
        <w:rPr>
          <w:sz w:val="24"/>
          <w:szCs w:val="24"/>
        </w:rPr>
        <w:t>On April 28</w:t>
      </w:r>
      <w:r w:rsidR="00544F3C">
        <w:rPr>
          <w:sz w:val="24"/>
          <w:szCs w:val="24"/>
        </w:rPr>
        <w:t>,</w:t>
      </w:r>
      <w:r>
        <w:rPr>
          <w:sz w:val="24"/>
          <w:szCs w:val="24"/>
        </w:rPr>
        <w:t xml:space="preserve"> 2017, the </w:t>
      </w:r>
      <w:r w:rsidR="002B5590">
        <w:rPr>
          <w:sz w:val="24"/>
          <w:szCs w:val="24"/>
        </w:rPr>
        <w:t>a</w:t>
      </w:r>
      <w:r>
        <w:rPr>
          <w:sz w:val="24"/>
          <w:szCs w:val="24"/>
        </w:rPr>
        <w:t>pplicants filed the signed consent forms to the proposed maps, certificate, and tariff for SWWC, as prepared by Commission Staff.</w:t>
      </w:r>
    </w:p>
    <w:p w:rsidR="007A5C84" w:rsidRDefault="007A5C84" w:rsidP="002B5590">
      <w:pPr>
        <w:numPr>
          <w:ilvl w:val="0"/>
          <w:numId w:val="2"/>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The proposed maps, certificate, and tariff referenced in </w:t>
      </w:r>
      <w:r w:rsidR="00870BC4">
        <w:rPr>
          <w:sz w:val="24"/>
          <w:szCs w:val="24"/>
        </w:rPr>
        <w:t>F</w:t>
      </w:r>
      <w:r>
        <w:rPr>
          <w:sz w:val="24"/>
          <w:szCs w:val="24"/>
        </w:rPr>
        <w:t xml:space="preserve">inding of </w:t>
      </w:r>
      <w:r w:rsidR="00870BC4">
        <w:rPr>
          <w:sz w:val="24"/>
          <w:szCs w:val="24"/>
        </w:rPr>
        <w:t>F</w:t>
      </w:r>
      <w:r>
        <w:rPr>
          <w:sz w:val="24"/>
          <w:szCs w:val="24"/>
        </w:rPr>
        <w:t>act No. 9 are attached to this Notice.</w:t>
      </w:r>
    </w:p>
    <w:p w:rsidR="007A5C84" w:rsidRDefault="007A5C84" w:rsidP="002B5590">
      <w:pPr>
        <w:kinsoku w:val="0"/>
        <w:overflowPunct w:val="0"/>
        <w:autoSpaceDE/>
        <w:autoSpaceDN/>
        <w:adjustRightInd/>
        <w:spacing w:before="120" w:line="360" w:lineRule="auto"/>
        <w:ind w:left="720" w:hanging="720"/>
        <w:jc w:val="both"/>
        <w:textAlignment w:val="baseline"/>
        <w:rPr>
          <w:sz w:val="24"/>
          <w:szCs w:val="24"/>
        </w:rPr>
      </w:pPr>
      <w:r>
        <w:rPr>
          <w:sz w:val="24"/>
          <w:szCs w:val="24"/>
        </w:rPr>
        <w:t>11.</w:t>
      </w:r>
      <w:r w:rsidR="002B5590">
        <w:rPr>
          <w:sz w:val="24"/>
          <w:szCs w:val="24"/>
        </w:rPr>
        <w:tab/>
      </w:r>
      <w:r>
        <w:rPr>
          <w:sz w:val="24"/>
          <w:szCs w:val="24"/>
        </w:rPr>
        <w:t>On May 8, 2017, Commission Staff filed a joint proposed notice of approval and a request to admit evidence in this proceeding.</w:t>
      </w:r>
    </w:p>
    <w:p w:rsidR="007A5C84" w:rsidRPr="008F38A3" w:rsidRDefault="007A5C84" w:rsidP="002B5590">
      <w:pPr>
        <w:kinsoku w:val="0"/>
        <w:overflowPunct w:val="0"/>
        <w:autoSpaceDE/>
        <w:autoSpaceDN/>
        <w:adjustRightInd/>
        <w:spacing w:before="120" w:line="360" w:lineRule="auto"/>
        <w:ind w:left="720" w:hanging="720"/>
        <w:jc w:val="both"/>
        <w:textAlignment w:val="baseline"/>
        <w:rPr>
          <w:b/>
          <w:i/>
          <w:iCs/>
          <w:spacing w:val="5"/>
          <w:sz w:val="24"/>
          <w:szCs w:val="24"/>
          <w:u w:val="single"/>
        </w:rPr>
      </w:pPr>
      <w:r w:rsidRPr="008F38A3">
        <w:rPr>
          <w:b/>
          <w:i/>
          <w:iCs/>
          <w:spacing w:val="5"/>
          <w:sz w:val="24"/>
          <w:szCs w:val="24"/>
          <w:u w:val="single"/>
        </w:rPr>
        <w:t>Notice</w:t>
      </w:r>
    </w:p>
    <w:p w:rsidR="007A5C84" w:rsidRDefault="007A5C84" w:rsidP="008F38A3">
      <w:pPr>
        <w:numPr>
          <w:ilvl w:val="0"/>
          <w:numId w:val="3"/>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Notice of the </w:t>
      </w:r>
      <w:r w:rsidR="002B5590">
        <w:rPr>
          <w:sz w:val="24"/>
          <w:szCs w:val="24"/>
        </w:rPr>
        <w:t>a</w:t>
      </w:r>
      <w:r>
        <w:rPr>
          <w:sz w:val="24"/>
          <w:szCs w:val="24"/>
        </w:rPr>
        <w:t xml:space="preserve">pplication was published in the </w:t>
      </w:r>
      <w:r>
        <w:rPr>
          <w:i/>
          <w:iCs/>
          <w:sz w:val="24"/>
          <w:szCs w:val="24"/>
        </w:rPr>
        <w:t xml:space="preserve">Texas Register </w:t>
      </w:r>
      <w:r w:rsidR="002B5590" w:rsidRPr="007C3A07">
        <w:rPr>
          <w:iCs/>
          <w:sz w:val="24"/>
          <w:szCs w:val="24"/>
        </w:rPr>
        <w:t>o</w:t>
      </w:r>
      <w:r w:rsidRPr="007C3A07">
        <w:rPr>
          <w:sz w:val="24"/>
          <w:szCs w:val="24"/>
        </w:rPr>
        <w:t>n</w:t>
      </w:r>
      <w:r>
        <w:rPr>
          <w:sz w:val="24"/>
          <w:szCs w:val="24"/>
        </w:rPr>
        <w:t xml:space="preserve"> November 18, 2016.</w:t>
      </w:r>
    </w:p>
    <w:p w:rsidR="007A5C84" w:rsidRPr="00544F3C" w:rsidRDefault="007A5C84" w:rsidP="008F38A3">
      <w:pPr>
        <w:numPr>
          <w:ilvl w:val="0"/>
          <w:numId w:val="3"/>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544F3C">
        <w:rPr>
          <w:sz w:val="24"/>
          <w:szCs w:val="24"/>
        </w:rPr>
        <w:t>On</w:t>
      </w:r>
      <w:r w:rsidR="00DF46E4" w:rsidRPr="00544F3C">
        <w:rPr>
          <w:sz w:val="24"/>
          <w:szCs w:val="24"/>
        </w:rPr>
        <w:t xml:space="preserve"> D</w:t>
      </w:r>
      <w:r w:rsidRPr="00544F3C">
        <w:rPr>
          <w:sz w:val="24"/>
          <w:szCs w:val="24"/>
        </w:rPr>
        <w:t xml:space="preserve">ecember 8, 2016, </w:t>
      </w:r>
      <w:r w:rsidR="00DF46E4" w:rsidRPr="00544F3C">
        <w:rPr>
          <w:sz w:val="24"/>
          <w:szCs w:val="24"/>
        </w:rPr>
        <w:t>a</w:t>
      </w:r>
      <w:r w:rsidRPr="00544F3C">
        <w:rPr>
          <w:sz w:val="24"/>
          <w:szCs w:val="24"/>
        </w:rPr>
        <w:t xml:space="preserve">pplicants filed an affidavit attesting to the provision of notice to all customers, neighboring utilities, and governmental entities </w:t>
      </w:r>
      <w:r w:rsidR="00DF46E4" w:rsidRPr="00544F3C">
        <w:rPr>
          <w:sz w:val="24"/>
          <w:szCs w:val="24"/>
        </w:rPr>
        <w:t xml:space="preserve">completed </w:t>
      </w:r>
      <w:r w:rsidRPr="00544F3C">
        <w:rPr>
          <w:sz w:val="24"/>
          <w:szCs w:val="24"/>
        </w:rPr>
        <w:t>on December 7, 2016.</w:t>
      </w:r>
    </w:p>
    <w:p w:rsidR="007A5C84" w:rsidRPr="002B5590" w:rsidRDefault="007A5C84" w:rsidP="002B5590">
      <w:pPr>
        <w:kinsoku w:val="0"/>
        <w:overflowPunct w:val="0"/>
        <w:autoSpaceDE/>
        <w:autoSpaceDN/>
        <w:adjustRightInd/>
        <w:spacing w:before="120" w:line="360" w:lineRule="auto"/>
        <w:ind w:left="720" w:hanging="720"/>
        <w:jc w:val="both"/>
        <w:textAlignment w:val="baseline"/>
        <w:rPr>
          <w:b/>
          <w:i/>
          <w:iCs/>
          <w:spacing w:val="6"/>
          <w:sz w:val="24"/>
          <w:szCs w:val="24"/>
          <w:u w:val="single"/>
        </w:rPr>
      </w:pPr>
      <w:r w:rsidRPr="002B5590">
        <w:rPr>
          <w:b/>
          <w:i/>
          <w:iCs/>
          <w:spacing w:val="6"/>
          <w:sz w:val="24"/>
          <w:szCs w:val="24"/>
          <w:u w:val="single"/>
        </w:rPr>
        <w:t>Evidence</w:t>
      </w:r>
    </w:p>
    <w:p w:rsidR="007A5C84" w:rsidRDefault="007A5C84" w:rsidP="008F38A3">
      <w:pPr>
        <w:numPr>
          <w:ilvl w:val="0"/>
          <w:numId w:val="3"/>
        </w:numPr>
        <w:tabs>
          <w:tab w:val="clear" w:pos="864"/>
        </w:tabs>
        <w:kinsoku w:val="0"/>
        <w:overflowPunct w:val="0"/>
        <w:autoSpaceDE/>
        <w:autoSpaceDN/>
        <w:adjustRightInd/>
        <w:spacing w:before="120" w:line="360" w:lineRule="auto"/>
        <w:ind w:left="720" w:hanging="720"/>
        <w:jc w:val="both"/>
        <w:textAlignment w:val="baseline"/>
        <w:rPr>
          <w:sz w:val="24"/>
          <w:szCs w:val="24"/>
        </w:rPr>
      </w:pPr>
      <w:bookmarkStart w:id="0" w:name="_GoBack"/>
      <w:r>
        <w:rPr>
          <w:sz w:val="24"/>
          <w:szCs w:val="24"/>
        </w:rPr>
        <w:t>On</w:t>
      </w:r>
      <w:r w:rsidR="007C3A07">
        <w:rPr>
          <w:sz w:val="24"/>
          <w:szCs w:val="24"/>
        </w:rPr>
        <w:t xml:space="preserve"> </w:t>
      </w:r>
      <w:r w:rsidR="00544F3C">
        <w:rPr>
          <w:sz w:val="24"/>
          <w:szCs w:val="24"/>
        </w:rPr>
        <w:t>May 10</w:t>
      </w:r>
      <w:r w:rsidR="006A6948">
        <w:rPr>
          <w:sz w:val="24"/>
          <w:szCs w:val="24"/>
        </w:rPr>
        <w:t xml:space="preserve">, 2017 </w:t>
      </w:r>
      <w:r>
        <w:rPr>
          <w:sz w:val="24"/>
          <w:szCs w:val="24"/>
        </w:rPr>
        <w:t>Order No. 6 was issued, admitting evidence into the record of this</w:t>
      </w:r>
      <w:r w:rsidR="002B5590">
        <w:rPr>
          <w:sz w:val="24"/>
          <w:szCs w:val="24"/>
        </w:rPr>
        <w:t xml:space="preserve"> </w:t>
      </w:r>
      <w:r>
        <w:rPr>
          <w:sz w:val="24"/>
          <w:szCs w:val="24"/>
        </w:rPr>
        <w:t>proceeding.</w:t>
      </w:r>
    </w:p>
    <w:bookmarkEnd w:id="0"/>
    <w:p w:rsidR="007A5C84" w:rsidRDefault="00870BC4" w:rsidP="002B5590">
      <w:pPr>
        <w:tabs>
          <w:tab w:val="left" w:pos="720"/>
        </w:tabs>
        <w:kinsoku w:val="0"/>
        <w:overflowPunct w:val="0"/>
        <w:autoSpaceDE/>
        <w:autoSpaceDN/>
        <w:adjustRightInd/>
        <w:spacing w:before="120" w:line="360" w:lineRule="auto"/>
        <w:ind w:right="72"/>
        <w:jc w:val="both"/>
        <w:textAlignment w:val="baseline"/>
        <w:rPr>
          <w:b/>
          <w:bCs/>
          <w:i/>
          <w:iCs/>
          <w:spacing w:val="1"/>
          <w:sz w:val="24"/>
          <w:szCs w:val="24"/>
          <w:u w:val="single"/>
        </w:rPr>
      </w:pPr>
      <w:r>
        <w:rPr>
          <w:b/>
          <w:bCs/>
          <w:i/>
          <w:iCs/>
          <w:spacing w:val="1"/>
          <w:sz w:val="24"/>
          <w:szCs w:val="24"/>
          <w:u w:val="single"/>
        </w:rPr>
        <w:t>Transaction request</w:t>
      </w:r>
    </w:p>
    <w:p w:rsidR="007A5C84" w:rsidRDefault="007A5C84" w:rsidP="002B5590">
      <w:pPr>
        <w:numPr>
          <w:ilvl w:val="0"/>
          <w:numId w:val="4"/>
        </w:numPr>
        <w:tabs>
          <w:tab w:val="clear" w:pos="864"/>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SWWC owns and operates Wiedenfeld. </w:t>
      </w:r>
      <w:r w:rsidR="00870BC4">
        <w:rPr>
          <w:sz w:val="24"/>
          <w:szCs w:val="24"/>
        </w:rPr>
        <w:t xml:space="preserve"> </w:t>
      </w:r>
      <w:r>
        <w:rPr>
          <w:sz w:val="24"/>
          <w:szCs w:val="24"/>
        </w:rPr>
        <w:t>SWWC seeks approval of an inter</w:t>
      </w:r>
      <w:r w:rsidR="007C3A07">
        <w:rPr>
          <w:sz w:val="24"/>
          <w:szCs w:val="24"/>
        </w:rPr>
        <w:t>-</w:t>
      </w:r>
      <w:r>
        <w:rPr>
          <w:sz w:val="24"/>
          <w:szCs w:val="24"/>
        </w:rPr>
        <w:t xml:space="preserve">company transfer of Wiedenfeld assets to SWWC, under its d/b/a Water Services, Inc. </w:t>
      </w:r>
      <w:r w:rsidR="00870BC4">
        <w:rPr>
          <w:sz w:val="24"/>
          <w:szCs w:val="24"/>
        </w:rPr>
        <w:t xml:space="preserve"> </w:t>
      </w:r>
      <w:r>
        <w:rPr>
          <w:sz w:val="24"/>
          <w:szCs w:val="24"/>
        </w:rPr>
        <w:t>SWWC also seeks to amend its Water CCN No. 11106 and to cancel Wiedenfeld</w:t>
      </w:r>
      <w:r w:rsidR="002B5590">
        <w:rPr>
          <w:sz w:val="24"/>
          <w:szCs w:val="24"/>
        </w:rPr>
        <w:t>’</w:t>
      </w:r>
      <w:r>
        <w:rPr>
          <w:sz w:val="24"/>
          <w:szCs w:val="24"/>
        </w:rPr>
        <w:t>s water CCN No. 12052.</w:t>
      </w:r>
    </w:p>
    <w:p w:rsidR="007A5C84" w:rsidRDefault="007066A4" w:rsidP="002B5590">
      <w:pPr>
        <w:kinsoku w:val="0"/>
        <w:overflowPunct w:val="0"/>
        <w:autoSpaceDE/>
        <w:autoSpaceDN/>
        <w:adjustRightInd/>
        <w:spacing w:before="120" w:line="360" w:lineRule="auto"/>
        <w:ind w:left="720" w:right="72" w:hanging="720"/>
        <w:jc w:val="both"/>
        <w:textAlignment w:val="baseline"/>
        <w:rPr>
          <w:b/>
          <w:bCs/>
          <w:i/>
          <w:iCs/>
          <w:spacing w:val="3"/>
          <w:sz w:val="24"/>
          <w:szCs w:val="24"/>
          <w:u w:val="single"/>
        </w:rPr>
      </w:pPr>
      <w:r>
        <w:rPr>
          <w:b/>
          <w:bCs/>
          <w:i/>
          <w:iCs/>
          <w:spacing w:val="3"/>
          <w:sz w:val="24"/>
          <w:szCs w:val="24"/>
          <w:u w:val="single"/>
        </w:rPr>
        <w:br w:type="page"/>
      </w:r>
      <w:r w:rsidR="007A5C84">
        <w:rPr>
          <w:b/>
          <w:bCs/>
          <w:i/>
          <w:iCs/>
          <w:spacing w:val="3"/>
          <w:sz w:val="24"/>
          <w:szCs w:val="24"/>
          <w:u w:val="single"/>
        </w:rPr>
        <w:lastRenderedPageBreak/>
        <w:t xml:space="preserve">Informal Disposition </w:t>
      </w:r>
    </w:p>
    <w:p w:rsidR="007A5C84" w:rsidRDefault="007A5C84" w:rsidP="002B5590">
      <w:pPr>
        <w:numPr>
          <w:ilvl w:val="0"/>
          <w:numId w:val="4"/>
        </w:numPr>
        <w:tabs>
          <w:tab w:val="clear" w:pos="864"/>
        </w:tabs>
        <w:kinsoku w:val="0"/>
        <w:overflowPunct w:val="0"/>
        <w:autoSpaceDE/>
        <w:autoSpaceDN/>
        <w:adjustRightInd/>
        <w:spacing w:before="120" w:line="360" w:lineRule="auto"/>
        <w:ind w:left="720" w:right="72" w:hanging="720"/>
        <w:jc w:val="both"/>
        <w:textAlignment w:val="baseline"/>
        <w:rPr>
          <w:spacing w:val="3"/>
          <w:sz w:val="24"/>
          <w:szCs w:val="24"/>
        </w:rPr>
      </w:pPr>
      <w:r>
        <w:rPr>
          <w:spacing w:val="3"/>
          <w:sz w:val="24"/>
          <w:szCs w:val="24"/>
        </w:rPr>
        <w:t xml:space="preserve">More than 15 days have passed since completion of the notice in this </w:t>
      </w:r>
      <w:r w:rsidR="007C3A07">
        <w:rPr>
          <w:spacing w:val="3"/>
          <w:sz w:val="24"/>
          <w:szCs w:val="24"/>
        </w:rPr>
        <w:t>a</w:t>
      </w:r>
      <w:r>
        <w:rPr>
          <w:spacing w:val="3"/>
          <w:sz w:val="24"/>
          <w:szCs w:val="24"/>
        </w:rPr>
        <w:t>pplication.</w:t>
      </w:r>
    </w:p>
    <w:p w:rsidR="007A5C84" w:rsidRDefault="007A5C84" w:rsidP="002B5590">
      <w:pPr>
        <w:numPr>
          <w:ilvl w:val="0"/>
          <w:numId w:val="4"/>
        </w:numPr>
        <w:tabs>
          <w:tab w:val="clear" w:pos="864"/>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Wiedenfeld, SWWC, and Commission Staff are the only parties to this proceeding.</w:t>
      </w:r>
    </w:p>
    <w:p w:rsidR="007A5C84" w:rsidRDefault="007A5C84" w:rsidP="002B5590">
      <w:pPr>
        <w:numPr>
          <w:ilvl w:val="0"/>
          <w:numId w:val="4"/>
        </w:numPr>
        <w:tabs>
          <w:tab w:val="clear" w:pos="864"/>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There are no contested issues, no protests, no motions to intervene, and no requests for a hearing in this </w:t>
      </w:r>
      <w:r w:rsidR="00870BC4">
        <w:rPr>
          <w:sz w:val="24"/>
          <w:szCs w:val="24"/>
        </w:rPr>
        <w:t>a</w:t>
      </w:r>
      <w:r>
        <w:rPr>
          <w:sz w:val="24"/>
          <w:szCs w:val="24"/>
        </w:rPr>
        <w:t>pplication.</w:t>
      </w:r>
    </w:p>
    <w:p w:rsidR="007A5C84" w:rsidRDefault="007A5C84" w:rsidP="007066A4">
      <w:pPr>
        <w:kinsoku w:val="0"/>
        <w:overflowPunct w:val="0"/>
        <w:autoSpaceDE/>
        <w:autoSpaceDN/>
        <w:adjustRightInd/>
        <w:spacing w:before="360" w:after="240"/>
        <w:ind w:right="72"/>
        <w:jc w:val="center"/>
        <w:textAlignment w:val="baseline"/>
        <w:rPr>
          <w:b/>
          <w:bCs/>
          <w:spacing w:val="1"/>
          <w:sz w:val="24"/>
          <w:szCs w:val="24"/>
        </w:rPr>
      </w:pPr>
      <w:r>
        <w:rPr>
          <w:b/>
          <w:bCs/>
          <w:spacing w:val="1"/>
          <w:sz w:val="24"/>
          <w:szCs w:val="24"/>
        </w:rPr>
        <w:t>II.</w:t>
      </w:r>
      <w:r w:rsidR="002B5590">
        <w:rPr>
          <w:b/>
          <w:bCs/>
          <w:spacing w:val="1"/>
          <w:sz w:val="24"/>
          <w:szCs w:val="24"/>
        </w:rPr>
        <w:t xml:space="preserve">  </w:t>
      </w:r>
      <w:r>
        <w:rPr>
          <w:b/>
          <w:bCs/>
          <w:spacing w:val="1"/>
          <w:sz w:val="24"/>
          <w:szCs w:val="24"/>
        </w:rPr>
        <w:t>Conclusions of Law</w:t>
      </w:r>
    </w:p>
    <w:p w:rsidR="007A5C84" w:rsidRDefault="007A5C84" w:rsidP="002B5590">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The Commission has jurisdiction over these matters pursuant to Tex</w:t>
      </w:r>
      <w:r w:rsidR="00DF46E4">
        <w:rPr>
          <w:sz w:val="24"/>
          <w:szCs w:val="24"/>
        </w:rPr>
        <w:t>.</w:t>
      </w:r>
      <w:r>
        <w:rPr>
          <w:sz w:val="24"/>
          <w:szCs w:val="24"/>
        </w:rPr>
        <w:t xml:space="preserve"> Water Code §§</w:t>
      </w:r>
      <w:r w:rsidR="00DF46E4">
        <w:rPr>
          <w:sz w:val="24"/>
          <w:szCs w:val="24"/>
        </w:rPr>
        <w:t> </w:t>
      </w:r>
      <w:r>
        <w:rPr>
          <w:sz w:val="24"/>
          <w:szCs w:val="24"/>
        </w:rPr>
        <w:t>13.244, 13.246, 13.254, 13.301 (TWC) and 16 Tex</w:t>
      </w:r>
      <w:r w:rsidR="00544F3C">
        <w:rPr>
          <w:sz w:val="24"/>
          <w:szCs w:val="24"/>
        </w:rPr>
        <w:t>as</w:t>
      </w:r>
      <w:r>
        <w:rPr>
          <w:sz w:val="24"/>
          <w:szCs w:val="24"/>
        </w:rPr>
        <w:t xml:space="preserve"> Admin</w:t>
      </w:r>
      <w:r w:rsidR="00544F3C">
        <w:rPr>
          <w:sz w:val="24"/>
          <w:szCs w:val="24"/>
        </w:rPr>
        <w:t>istrative</w:t>
      </w:r>
      <w:r>
        <w:rPr>
          <w:sz w:val="24"/>
          <w:szCs w:val="24"/>
        </w:rPr>
        <w:t xml:space="preserve"> Code §§ 24.102 and 24.109 (TAC).</w:t>
      </w:r>
    </w:p>
    <w:p w:rsidR="007A5C84" w:rsidRDefault="007A5C84" w:rsidP="002B5590">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SWWC and Wiedenfeld are retail public utilities as defined in TWC § 13.002(19) and 16 TAC § 24.3(59).</w:t>
      </w:r>
    </w:p>
    <w:p w:rsidR="007A5C84" w:rsidRDefault="007A5C84" w:rsidP="002B5590">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Public notice of the </w:t>
      </w:r>
      <w:r w:rsidR="00DF46E4">
        <w:rPr>
          <w:sz w:val="24"/>
          <w:szCs w:val="24"/>
        </w:rPr>
        <w:t>a</w:t>
      </w:r>
      <w:r>
        <w:rPr>
          <w:sz w:val="24"/>
          <w:szCs w:val="24"/>
        </w:rPr>
        <w:t>pplication was provided as required by TWC § 13.301(a)(2).</w:t>
      </w:r>
    </w:p>
    <w:p w:rsidR="007A5C84" w:rsidRDefault="007A5C84" w:rsidP="002B5590">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The </w:t>
      </w:r>
      <w:r w:rsidR="00870BC4">
        <w:rPr>
          <w:sz w:val="24"/>
          <w:szCs w:val="24"/>
        </w:rPr>
        <w:t>a</w:t>
      </w:r>
      <w:r>
        <w:rPr>
          <w:sz w:val="24"/>
          <w:szCs w:val="24"/>
        </w:rPr>
        <w:t>pplication was processed in accordance with the requirements of TWC § 13.301 and 16 TAC §§ 24.102 and 24.109.</w:t>
      </w:r>
    </w:p>
    <w:p w:rsidR="007A5C84" w:rsidRDefault="007A5C84" w:rsidP="002B5590">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After considering the factors in TWC § 13.246(c), SWWC has demonstrated adequate financial, managerial, and technical capability for providing continuous and adequate service to the requested area.</w:t>
      </w:r>
    </w:p>
    <w:p w:rsidR="007A5C84" w:rsidRDefault="007A5C84" w:rsidP="002B5590">
      <w:pPr>
        <w:numPr>
          <w:ilvl w:val="0"/>
          <w:numId w:val="6"/>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Applicants have demonstrated that the sale and transfer of facilities and amendment of the CCNs in this application are necessary for the service, accommodation, convenience, </w:t>
      </w:r>
      <w:r w:rsidR="00544F3C">
        <w:rPr>
          <w:sz w:val="24"/>
          <w:szCs w:val="24"/>
        </w:rPr>
        <w:t>or</w:t>
      </w:r>
      <w:r>
        <w:rPr>
          <w:sz w:val="24"/>
          <w:szCs w:val="24"/>
        </w:rPr>
        <w:t xml:space="preserve"> safety of the public.</w:t>
      </w:r>
    </w:p>
    <w:p w:rsidR="007A5C84" w:rsidRDefault="007A5C84" w:rsidP="002B5590">
      <w:pPr>
        <w:numPr>
          <w:ilvl w:val="0"/>
          <w:numId w:val="6"/>
        </w:numPr>
        <w:kinsoku w:val="0"/>
        <w:overflowPunct w:val="0"/>
        <w:autoSpaceDE/>
        <w:autoSpaceDN/>
        <w:adjustRightInd/>
        <w:spacing w:before="120" w:line="360" w:lineRule="auto"/>
        <w:ind w:hanging="720"/>
        <w:jc w:val="both"/>
        <w:textAlignment w:val="baseline"/>
        <w:rPr>
          <w:sz w:val="24"/>
          <w:szCs w:val="24"/>
        </w:rPr>
      </w:pPr>
      <w:r>
        <w:rPr>
          <w:sz w:val="24"/>
          <w:szCs w:val="24"/>
        </w:rPr>
        <w:t>Under TWC § 13.257(r) and 16 TAC § 24.106(f), SWWC is required to record a certified copy of the approved CCN and map, along with a boundary description of the service area, in the real property records of each county in which the service area or portion of a service area is located, and submit to the Commission evidence of the recording.</w:t>
      </w:r>
    </w:p>
    <w:p w:rsidR="007A5C84" w:rsidRDefault="007A5C84" w:rsidP="002B5590">
      <w:pPr>
        <w:numPr>
          <w:ilvl w:val="0"/>
          <w:numId w:val="6"/>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The requirements for informal disposition </w:t>
      </w:r>
      <w:r w:rsidR="00544F3C">
        <w:rPr>
          <w:sz w:val="24"/>
          <w:szCs w:val="24"/>
        </w:rPr>
        <w:t>in</w:t>
      </w:r>
      <w:r>
        <w:rPr>
          <w:sz w:val="24"/>
          <w:szCs w:val="24"/>
        </w:rPr>
        <w:t xml:space="preserve"> 16 TAC § 22.35 have been met in this proceeding.</w:t>
      </w:r>
    </w:p>
    <w:p w:rsidR="007A5C84" w:rsidRPr="002B5590" w:rsidRDefault="007A5C84" w:rsidP="002B5590">
      <w:pPr>
        <w:kinsoku w:val="0"/>
        <w:overflowPunct w:val="0"/>
        <w:autoSpaceDE/>
        <w:autoSpaceDN/>
        <w:adjustRightInd/>
        <w:spacing w:before="360" w:after="240"/>
        <w:ind w:right="72"/>
        <w:jc w:val="center"/>
        <w:textAlignment w:val="baseline"/>
        <w:rPr>
          <w:b/>
          <w:bCs/>
          <w:sz w:val="24"/>
          <w:szCs w:val="24"/>
        </w:rPr>
      </w:pPr>
      <w:r w:rsidRPr="002B5590">
        <w:rPr>
          <w:b/>
          <w:bCs/>
          <w:sz w:val="24"/>
          <w:szCs w:val="24"/>
        </w:rPr>
        <w:lastRenderedPageBreak/>
        <w:t xml:space="preserve">III. </w:t>
      </w:r>
      <w:r w:rsidR="002B5590">
        <w:rPr>
          <w:b/>
          <w:bCs/>
          <w:sz w:val="24"/>
          <w:szCs w:val="24"/>
        </w:rPr>
        <w:t xml:space="preserve"> </w:t>
      </w:r>
      <w:r w:rsidRPr="002B5590">
        <w:rPr>
          <w:b/>
          <w:bCs/>
          <w:sz w:val="24"/>
          <w:szCs w:val="24"/>
        </w:rPr>
        <w:t>Ordering Paragraphs</w:t>
      </w:r>
    </w:p>
    <w:p w:rsidR="007A5C84" w:rsidRDefault="002B5590" w:rsidP="002B5590">
      <w:pPr>
        <w:kinsoku w:val="0"/>
        <w:overflowPunct w:val="0"/>
        <w:autoSpaceDE/>
        <w:autoSpaceDN/>
        <w:adjustRightInd/>
        <w:spacing w:before="120" w:line="360" w:lineRule="auto"/>
        <w:ind w:right="72"/>
        <w:jc w:val="both"/>
        <w:textAlignment w:val="baseline"/>
        <w:rPr>
          <w:sz w:val="24"/>
          <w:szCs w:val="24"/>
        </w:rPr>
      </w:pPr>
      <w:r>
        <w:rPr>
          <w:sz w:val="24"/>
          <w:szCs w:val="24"/>
        </w:rPr>
        <w:tab/>
      </w:r>
      <w:r w:rsidR="007A5C84">
        <w:rPr>
          <w:sz w:val="24"/>
          <w:szCs w:val="24"/>
        </w:rPr>
        <w:t xml:space="preserve">In accordance with these findings of fact and conclusions of law, the Commission issues the following </w:t>
      </w:r>
      <w:r w:rsidR="00870BC4">
        <w:rPr>
          <w:sz w:val="24"/>
          <w:szCs w:val="24"/>
        </w:rPr>
        <w:t>o</w:t>
      </w:r>
      <w:r w:rsidR="007A5C84">
        <w:rPr>
          <w:sz w:val="24"/>
          <w:szCs w:val="24"/>
        </w:rPr>
        <w:t>rder:</w:t>
      </w:r>
    </w:p>
    <w:p w:rsidR="007A5C84" w:rsidRDefault="007A5C84" w:rsidP="002B5590">
      <w:pPr>
        <w:numPr>
          <w:ilvl w:val="0"/>
          <w:numId w:val="7"/>
        </w:numPr>
        <w:tabs>
          <w:tab w:val="clear" w:pos="864"/>
        </w:tabs>
        <w:kinsoku w:val="0"/>
        <w:overflowPunct w:val="0"/>
        <w:autoSpaceDE/>
        <w:autoSpaceDN/>
        <w:adjustRightInd/>
        <w:spacing w:before="120" w:line="360" w:lineRule="auto"/>
        <w:ind w:left="720" w:right="72" w:hanging="720"/>
        <w:jc w:val="both"/>
        <w:textAlignment w:val="baseline"/>
        <w:rPr>
          <w:spacing w:val="1"/>
          <w:sz w:val="24"/>
          <w:szCs w:val="24"/>
        </w:rPr>
      </w:pPr>
      <w:r>
        <w:rPr>
          <w:spacing w:val="1"/>
          <w:sz w:val="24"/>
          <w:szCs w:val="24"/>
        </w:rPr>
        <w:t xml:space="preserve">The </w:t>
      </w:r>
      <w:r w:rsidR="002B5590">
        <w:rPr>
          <w:spacing w:val="1"/>
          <w:sz w:val="24"/>
          <w:szCs w:val="24"/>
        </w:rPr>
        <w:t>a</w:t>
      </w:r>
      <w:r>
        <w:rPr>
          <w:spacing w:val="1"/>
          <w:sz w:val="24"/>
          <w:szCs w:val="24"/>
        </w:rPr>
        <w:t xml:space="preserve">pplication </w:t>
      </w:r>
      <w:r w:rsidR="002B5590">
        <w:rPr>
          <w:spacing w:val="1"/>
          <w:sz w:val="24"/>
          <w:szCs w:val="24"/>
        </w:rPr>
        <w:t xml:space="preserve">of Wiedenfeld and SWWC </w:t>
      </w:r>
      <w:r>
        <w:rPr>
          <w:spacing w:val="1"/>
          <w:sz w:val="24"/>
          <w:szCs w:val="24"/>
        </w:rPr>
        <w:t>is approved.</w:t>
      </w:r>
    </w:p>
    <w:p w:rsidR="007A5C84" w:rsidRDefault="007A5C84" w:rsidP="002B5590">
      <w:pPr>
        <w:numPr>
          <w:ilvl w:val="0"/>
          <w:numId w:val="7"/>
        </w:numPr>
        <w:tabs>
          <w:tab w:val="clear" w:pos="864"/>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SWWC</w:t>
      </w:r>
      <w:r w:rsidR="002B5590">
        <w:rPr>
          <w:sz w:val="24"/>
          <w:szCs w:val="24"/>
        </w:rPr>
        <w:t>’</w:t>
      </w:r>
      <w:r>
        <w:rPr>
          <w:sz w:val="24"/>
          <w:szCs w:val="24"/>
        </w:rPr>
        <w:t>s water CCN No. 11106 is amended and Wiedenfeld</w:t>
      </w:r>
      <w:r w:rsidR="002B5590">
        <w:rPr>
          <w:sz w:val="24"/>
          <w:szCs w:val="24"/>
        </w:rPr>
        <w:t>’</w:t>
      </w:r>
      <w:r>
        <w:rPr>
          <w:sz w:val="24"/>
          <w:szCs w:val="24"/>
        </w:rPr>
        <w:t>s water CCN No. 12052 is cancelled consistent with this Notice.</w:t>
      </w:r>
    </w:p>
    <w:p w:rsidR="007A5C84" w:rsidRDefault="007A5C84" w:rsidP="002B5590">
      <w:pPr>
        <w:numPr>
          <w:ilvl w:val="0"/>
          <w:numId w:val="8"/>
        </w:numPr>
        <w:tabs>
          <w:tab w:val="clear" w:pos="864"/>
        </w:tabs>
        <w:kinsoku w:val="0"/>
        <w:overflowPunct w:val="0"/>
        <w:autoSpaceDE/>
        <w:autoSpaceDN/>
        <w:adjustRightInd/>
        <w:spacing w:before="120" w:line="360" w:lineRule="auto"/>
        <w:ind w:left="720" w:right="72" w:hanging="720"/>
        <w:jc w:val="both"/>
        <w:textAlignment w:val="baseline"/>
        <w:rPr>
          <w:spacing w:val="-1"/>
          <w:sz w:val="24"/>
          <w:szCs w:val="24"/>
        </w:rPr>
      </w:pPr>
      <w:r>
        <w:rPr>
          <w:spacing w:val="-1"/>
          <w:sz w:val="24"/>
          <w:szCs w:val="24"/>
        </w:rPr>
        <w:t>SWWC shall comply with the recording requirements of TAC § 13.257(r) of the</w:t>
      </w:r>
      <w:r w:rsidR="002B5590">
        <w:rPr>
          <w:spacing w:val="-1"/>
          <w:sz w:val="24"/>
          <w:szCs w:val="24"/>
        </w:rPr>
        <w:t xml:space="preserve"> </w:t>
      </w:r>
      <w:r>
        <w:rPr>
          <w:spacing w:val="-1"/>
          <w:sz w:val="24"/>
          <w:szCs w:val="24"/>
        </w:rPr>
        <w:t>areas in Kendall, Kerr, and Medina Counties affected by this application and submit to the Commission evidence of the recording no later than 31 days after receipt of this Notice.</w:t>
      </w:r>
    </w:p>
    <w:p w:rsidR="007A5C84" w:rsidRDefault="007A5C84" w:rsidP="002B5590">
      <w:pPr>
        <w:numPr>
          <w:ilvl w:val="0"/>
          <w:numId w:val="7"/>
        </w:numPr>
        <w:tabs>
          <w:tab w:val="clear" w:pos="864"/>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All other motions, requests for entry of specific findings of fact or conclusions of law, and any other requests for general or specific relief, if not expressly granted herein, are hereby denied.</w:t>
      </w:r>
    </w:p>
    <w:p w:rsidR="007066A4" w:rsidRDefault="007066A4" w:rsidP="007066A4">
      <w:pPr>
        <w:kinsoku w:val="0"/>
        <w:overflowPunct w:val="0"/>
        <w:autoSpaceDE/>
        <w:autoSpaceDN/>
        <w:adjustRightInd/>
        <w:ind w:left="720" w:right="72"/>
        <w:jc w:val="both"/>
        <w:textAlignment w:val="baseline"/>
        <w:rPr>
          <w:sz w:val="24"/>
          <w:szCs w:val="24"/>
        </w:rPr>
      </w:pPr>
    </w:p>
    <w:p w:rsidR="007066A4" w:rsidRPr="007066A4" w:rsidRDefault="007066A4" w:rsidP="00A91F14">
      <w:pPr>
        <w:pStyle w:val="BodyText"/>
        <w:rPr>
          <w:b/>
        </w:rPr>
      </w:pPr>
      <w:r w:rsidRPr="007066A4">
        <w:rPr>
          <w:b/>
        </w:rPr>
        <w:t>Signed at Austin, Texas the ________ day of May 2017.</w:t>
      </w:r>
    </w:p>
    <w:tbl>
      <w:tblPr>
        <w:tblW w:w="0" w:type="auto"/>
        <w:jc w:val="right"/>
        <w:tblCellMar>
          <w:left w:w="0" w:type="dxa"/>
          <w:right w:w="0" w:type="dxa"/>
        </w:tblCellMar>
        <w:tblLook w:val="01E0" w:firstRow="1" w:lastRow="1" w:firstColumn="1" w:lastColumn="1" w:noHBand="0" w:noVBand="0"/>
      </w:tblPr>
      <w:tblGrid>
        <w:gridCol w:w="4921"/>
      </w:tblGrid>
      <w:tr w:rsidR="007066A4" w:rsidRPr="007066A4" w:rsidTr="00E76485">
        <w:trPr>
          <w:cantSplit/>
          <w:jc w:val="right"/>
        </w:trPr>
        <w:tc>
          <w:tcPr>
            <w:tcW w:w="0" w:type="auto"/>
          </w:tcPr>
          <w:p w:rsidR="007066A4" w:rsidRPr="007066A4" w:rsidRDefault="007066A4" w:rsidP="00E76485">
            <w:pPr>
              <w:keepNext/>
              <w:spacing w:before="120"/>
              <w:rPr>
                <w:rFonts w:eastAsia="SimSun"/>
                <w:b/>
                <w:sz w:val="24"/>
                <w:szCs w:val="24"/>
              </w:rPr>
            </w:pPr>
            <w:r w:rsidRPr="007066A4">
              <w:rPr>
                <w:rFonts w:eastAsia="SimSun"/>
                <w:b/>
                <w:sz w:val="24"/>
                <w:szCs w:val="24"/>
              </w:rPr>
              <w:t>PUBLIC UTILITY COMMISSION OF TEXAS</w:t>
            </w:r>
          </w:p>
        </w:tc>
      </w:tr>
      <w:tr w:rsidR="007066A4" w:rsidRPr="007066A4" w:rsidTr="00E76485">
        <w:trPr>
          <w:cantSplit/>
          <w:jc w:val="right"/>
        </w:trPr>
        <w:tc>
          <w:tcPr>
            <w:tcW w:w="0" w:type="auto"/>
            <w:tcBorders>
              <w:bottom w:val="single" w:sz="4" w:space="0" w:color="auto"/>
            </w:tcBorders>
          </w:tcPr>
          <w:p w:rsidR="007066A4" w:rsidRPr="007066A4" w:rsidRDefault="007066A4" w:rsidP="00E76485">
            <w:pPr>
              <w:keepNext/>
              <w:rPr>
                <w:rFonts w:eastAsia="SimSun"/>
                <w:sz w:val="24"/>
                <w:szCs w:val="24"/>
              </w:rPr>
            </w:pPr>
          </w:p>
          <w:p w:rsidR="007066A4" w:rsidRPr="007066A4" w:rsidRDefault="007066A4" w:rsidP="00E76485">
            <w:pPr>
              <w:keepNext/>
              <w:rPr>
                <w:rFonts w:eastAsia="SimSun"/>
                <w:sz w:val="24"/>
                <w:szCs w:val="24"/>
              </w:rPr>
            </w:pPr>
          </w:p>
          <w:p w:rsidR="007066A4" w:rsidRPr="007066A4" w:rsidRDefault="007066A4" w:rsidP="00E76485">
            <w:pPr>
              <w:keepNext/>
              <w:rPr>
                <w:rFonts w:eastAsia="SimSun"/>
                <w:sz w:val="24"/>
                <w:szCs w:val="24"/>
              </w:rPr>
            </w:pPr>
          </w:p>
        </w:tc>
      </w:tr>
      <w:tr w:rsidR="007066A4" w:rsidRPr="007066A4" w:rsidTr="00E76485">
        <w:trPr>
          <w:cantSplit/>
          <w:jc w:val="right"/>
        </w:trPr>
        <w:tc>
          <w:tcPr>
            <w:tcW w:w="0" w:type="auto"/>
            <w:tcBorders>
              <w:top w:val="single" w:sz="4" w:space="0" w:color="auto"/>
            </w:tcBorders>
          </w:tcPr>
          <w:p w:rsidR="007066A4" w:rsidRPr="007066A4" w:rsidRDefault="007066A4" w:rsidP="00E76485">
            <w:pPr>
              <w:rPr>
                <w:b/>
                <w:sz w:val="24"/>
                <w:szCs w:val="24"/>
              </w:rPr>
            </w:pPr>
            <w:r w:rsidRPr="007066A4">
              <w:rPr>
                <w:b/>
                <w:sz w:val="24"/>
                <w:szCs w:val="24"/>
              </w:rPr>
              <w:t>JEFFREY J. HUHN</w:t>
            </w:r>
          </w:p>
          <w:p w:rsidR="007066A4" w:rsidRPr="007066A4" w:rsidRDefault="007066A4" w:rsidP="007066A4">
            <w:pPr>
              <w:pStyle w:val="FilePath"/>
              <w:spacing w:before="0"/>
              <w:rPr>
                <w:rFonts w:eastAsia="SimSun"/>
                <w:b/>
                <w:sz w:val="24"/>
                <w:szCs w:val="24"/>
              </w:rPr>
            </w:pPr>
            <w:r w:rsidRPr="007066A4">
              <w:rPr>
                <w:b/>
                <w:sz w:val="24"/>
                <w:szCs w:val="24"/>
              </w:rPr>
              <w:t>ADMINISTRATIVE LAW JUDGE</w:t>
            </w:r>
          </w:p>
        </w:tc>
      </w:tr>
    </w:tbl>
    <w:p w:rsidR="007066A4" w:rsidRDefault="007066A4" w:rsidP="009945AE">
      <w:pPr>
        <w:pStyle w:val="FilePath"/>
      </w:pPr>
    </w:p>
    <w:p w:rsidR="007066A4" w:rsidRDefault="008F38A3" w:rsidP="007066A4">
      <w:pPr>
        <w:pStyle w:val="FilePath"/>
        <w:rPr>
          <w:sz w:val="24"/>
          <w:szCs w:val="24"/>
        </w:rPr>
      </w:pPr>
      <w:r>
        <w:fldChar w:fldCharType="begin"/>
      </w:r>
      <w:r>
        <w:instrText xml:space="preserve"> FILENAME  \p  \* MERGEFORMAT </w:instrText>
      </w:r>
      <w:r>
        <w:fldChar w:fldCharType="separate"/>
      </w:r>
      <w:r w:rsidR="007066A4" w:rsidRPr="007066A4">
        <w:rPr>
          <w:noProof/>
          <w:szCs w:val="16"/>
        </w:rPr>
        <w:t>Q</w:t>
      </w:r>
      <w:r w:rsidR="007066A4">
        <w:rPr>
          <w:noProof/>
        </w:rPr>
        <w:t>:\CADM\Docket Management\Water\STM\46XXX\46494 NOA.docx</w:t>
      </w:r>
      <w:r>
        <w:rPr>
          <w:noProof/>
        </w:rPr>
        <w:fldChar w:fldCharType="end"/>
      </w:r>
    </w:p>
    <w:sectPr w:rsidR="007066A4" w:rsidSect="007066A4">
      <w:headerReference w:type="default" r:id="rId7"/>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6A4" w:rsidRDefault="007066A4" w:rsidP="007066A4">
      <w:r>
        <w:separator/>
      </w:r>
    </w:p>
  </w:endnote>
  <w:endnote w:type="continuationSeparator" w:id="0">
    <w:p w:rsidR="007066A4" w:rsidRDefault="007066A4" w:rsidP="0070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6A4" w:rsidRDefault="007066A4" w:rsidP="007066A4">
      <w:r>
        <w:separator/>
      </w:r>
    </w:p>
  </w:footnote>
  <w:footnote w:type="continuationSeparator" w:id="0">
    <w:p w:rsidR="007066A4" w:rsidRDefault="007066A4" w:rsidP="00706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6A4" w:rsidRDefault="007066A4">
    <w:pPr>
      <w:pStyle w:val="Header"/>
      <w:rPr>
        <w:b/>
        <w:bCs/>
        <w:sz w:val="22"/>
        <w:szCs w:val="22"/>
      </w:rPr>
    </w:pPr>
    <w:r w:rsidRPr="007066A4">
      <w:rPr>
        <w:b/>
        <w:sz w:val="22"/>
        <w:szCs w:val="22"/>
      </w:rPr>
      <w:t>Docket No. 46494</w:t>
    </w:r>
    <w:r w:rsidRPr="007066A4">
      <w:rPr>
        <w:b/>
        <w:sz w:val="22"/>
        <w:szCs w:val="22"/>
      </w:rPr>
      <w:tab/>
      <w:t xml:space="preserve">Notice </w:t>
    </w:r>
    <w:r>
      <w:rPr>
        <w:b/>
        <w:sz w:val="22"/>
        <w:szCs w:val="22"/>
      </w:rPr>
      <w:t>o</w:t>
    </w:r>
    <w:r w:rsidRPr="007066A4">
      <w:rPr>
        <w:b/>
        <w:sz w:val="22"/>
        <w:szCs w:val="22"/>
      </w:rPr>
      <w:t>f Approval</w:t>
    </w:r>
    <w:r w:rsidRPr="007066A4">
      <w:rPr>
        <w:b/>
        <w:sz w:val="22"/>
        <w:szCs w:val="22"/>
      </w:rPr>
      <w:tab/>
      <w:t xml:space="preserve">Page </w:t>
    </w:r>
    <w:r w:rsidRPr="007066A4">
      <w:rPr>
        <w:b/>
        <w:bCs/>
        <w:sz w:val="22"/>
        <w:szCs w:val="22"/>
      </w:rPr>
      <w:fldChar w:fldCharType="begin"/>
    </w:r>
    <w:r w:rsidRPr="007066A4">
      <w:rPr>
        <w:b/>
        <w:bCs/>
        <w:sz w:val="22"/>
        <w:szCs w:val="22"/>
      </w:rPr>
      <w:instrText xml:space="preserve"> PAGE  \* Arabic  \* MERGEFORMAT </w:instrText>
    </w:r>
    <w:r w:rsidRPr="007066A4">
      <w:rPr>
        <w:b/>
        <w:bCs/>
        <w:sz w:val="22"/>
        <w:szCs w:val="22"/>
      </w:rPr>
      <w:fldChar w:fldCharType="separate"/>
    </w:r>
    <w:r w:rsidR="008F38A3">
      <w:rPr>
        <w:b/>
        <w:bCs/>
        <w:noProof/>
        <w:sz w:val="22"/>
        <w:szCs w:val="22"/>
      </w:rPr>
      <w:t>2</w:t>
    </w:r>
    <w:r w:rsidRPr="007066A4">
      <w:rPr>
        <w:b/>
        <w:bCs/>
        <w:sz w:val="22"/>
        <w:szCs w:val="22"/>
      </w:rPr>
      <w:fldChar w:fldCharType="end"/>
    </w:r>
    <w:r w:rsidRPr="007066A4">
      <w:rPr>
        <w:b/>
        <w:sz w:val="22"/>
        <w:szCs w:val="22"/>
      </w:rPr>
      <w:t xml:space="preserve"> </w:t>
    </w:r>
    <w:r>
      <w:rPr>
        <w:b/>
        <w:sz w:val="22"/>
        <w:szCs w:val="22"/>
      </w:rPr>
      <w:t>o</w:t>
    </w:r>
    <w:r w:rsidRPr="007066A4">
      <w:rPr>
        <w:b/>
        <w:sz w:val="22"/>
        <w:szCs w:val="22"/>
      </w:rPr>
      <w:t xml:space="preserve">f </w:t>
    </w:r>
    <w:r w:rsidRPr="007066A4">
      <w:rPr>
        <w:b/>
        <w:bCs/>
        <w:sz w:val="22"/>
        <w:szCs w:val="22"/>
      </w:rPr>
      <w:fldChar w:fldCharType="begin"/>
    </w:r>
    <w:r w:rsidRPr="007066A4">
      <w:rPr>
        <w:b/>
        <w:bCs/>
        <w:sz w:val="22"/>
        <w:szCs w:val="22"/>
      </w:rPr>
      <w:instrText xml:space="preserve"> NUMPAGES  \* Arabic  \* MERGEFORMAT </w:instrText>
    </w:r>
    <w:r w:rsidRPr="007066A4">
      <w:rPr>
        <w:b/>
        <w:bCs/>
        <w:sz w:val="22"/>
        <w:szCs w:val="22"/>
      </w:rPr>
      <w:fldChar w:fldCharType="separate"/>
    </w:r>
    <w:r w:rsidR="008F38A3">
      <w:rPr>
        <w:b/>
        <w:bCs/>
        <w:noProof/>
        <w:sz w:val="22"/>
        <w:szCs w:val="22"/>
      </w:rPr>
      <w:t>4</w:t>
    </w:r>
    <w:r w:rsidRPr="007066A4">
      <w:rPr>
        <w:b/>
        <w:bCs/>
        <w:sz w:val="22"/>
        <w:szCs w:val="22"/>
      </w:rPr>
      <w:fldChar w:fldCharType="end"/>
    </w:r>
  </w:p>
  <w:p w:rsidR="007066A4" w:rsidRDefault="007066A4">
    <w:pPr>
      <w:pStyle w:val="Header"/>
      <w:rPr>
        <w:b/>
        <w:bCs/>
        <w:sz w:val="22"/>
        <w:szCs w:val="22"/>
      </w:rPr>
    </w:pPr>
  </w:p>
  <w:p w:rsidR="007066A4" w:rsidRPr="007066A4" w:rsidRDefault="007066A4">
    <w:pPr>
      <w:pStyle w:val="Header"/>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3B56"/>
    <w:multiLevelType w:val="singleLevel"/>
    <w:tmpl w:val="6FB03C20"/>
    <w:lvl w:ilvl="0">
      <w:start w:val="1"/>
      <w:numFmt w:val="decimal"/>
      <w:lvlText w:val="%1."/>
      <w:lvlJc w:val="left"/>
      <w:pPr>
        <w:tabs>
          <w:tab w:val="num" w:pos="792"/>
        </w:tabs>
        <w:ind w:left="792" w:hanging="360"/>
      </w:pPr>
      <w:rPr>
        <w:snapToGrid/>
        <w:sz w:val="24"/>
        <w:szCs w:val="24"/>
      </w:rPr>
    </w:lvl>
  </w:abstractNum>
  <w:abstractNum w:abstractNumId="1" w15:restartNumberingAfterBreak="0">
    <w:nsid w:val="018DAB1E"/>
    <w:multiLevelType w:val="singleLevel"/>
    <w:tmpl w:val="1A819D0B"/>
    <w:lvl w:ilvl="0">
      <w:start w:val="5"/>
      <w:numFmt w:val="decimal"/>
      <w:lvlText w:val="%1."/>
      <w:lvlJc w:val="left"/>
      <w:pPr>
        <w:tabs>
          <w:tab w:val="num" w:pos="720"/>
        </w:tabs>
        <w:ind w:left="720" w:hanging="288"/>
      </w:pPr>
      <w:rPr>
        <w:snapToGrid/>
        <w:sz w:val="24"/>
        <w:szCs w:val="24"/>
      </w:rPr>
    </w:lvl>
  </w:abstractNum>
  <w:abstractNum w:abstractNumId="2" w15:restartNumberingAfterBreak="0">
    <w:nsid w:val="02CA4B18"/>
    <w:multiLevelType w:val="singleLevel"/>
    <w:tmpl w:val="0141F458"/>
    <w:lvl w:ilvl="0">
      <w:start w:val="1"/>
      <w:numFmt w:val="decimal"/>
      <w:lvlText w:val="%1."/>
      <w:lvlJc w:val="left"/>
      <w:pPr>
        <w:tabs>
          <w:tab w:val="num" w:pos="864"/>
        </w:tabs>
        <w:ind w:left="864" w:hanging="288"/>
      </w:pPr>
      <w:rPr>
        <w:snapToGrid/>
        <w:sz w:val="24"/>
        <w:szCs w:val="24"/>
      </w:rPr>
    </w:lvl>
  </w:abstractNum>
  <w:abstractNum w:abstractNumId="3" w15:restartNumberingAfterBreak="0">
    <w:nsid w:val="031D5A97"/>
    <w:multiLevelType w:val="singleLevel"/>
    <w:tmpl w:val="5E5E52CD"/>
    <w:lvl w:ilvl="0">
      <w:start w:val="1"/>
      <w:numFmt w:val="decimal"/>
      <w:lvlText w:val="%1."/>
      <w:lvlJc w:val="left"/>
      <w:pPr>
        <w:tabs>
          <w:tab w:val="num" w:pos="864"/>
        </w:tabs>
        <w:ind w:left="864" w:hanging="360"/>
      </w:pPr>
      <w:rPr>
        <w:snapToGrid/>
        <w:spacing w:val="1"/>
        <w:sz w:val="24"/>
        <w:szCs w:val="24"/>
      </w:rPr>
    </w:lvl>
  </w:abstractNum>
  <w:abstractNum w:abstractNumId="4" w15:restartNumberingAfterBreak="0">
    <w:nsid w:val="03C0C077"/>
    <w:multiLevelType w:val="singleLevel"/>
    <w:tmpl w:val="1BB05A3B"/>
    <w:lvl w:ilvl="0">
      <w:start w:val="15"/>
      <w:numFmt w:val="decimal"/>
      <w:lvlText w:val="%1."/>
      <w:lvlJc w:val="left"/>
      <w:pPr>
        <w:tabs>
          <w:tab w:val="num" w:pos="864"/>
        </w:tabs>
        <w:ind w:left="864" w:hanging="288"/>
      </w:pPr>
      <w:rPr>
        <w:snapToGrid/>
        <w:sz w:val="24"/>
        <w:szCs w:val="24"/>
      </w:rPr>
    </w:lvl>
  </w:abstractNum>
  <w:abstractNum w:abstractNumId="5" w15:restartNumberingAfterBreak="0">
    <w:nsid w:val="03EFF85F"/>
    <w:multiLevelType w:val="singleLevel"/>
    <w:tmpl w:val="6245B422"/>
    <w:lvl w:ilvl="0">
      <w:start w:val="12"/>
      <w:numFmt w:val="decimal"/>
      <w:lvlText w:val="%1."/>
      <w:lvlJc w:val="left"/>
      <w:pPr>
        <w:tabs>
          <w:tab w:val="num" w:pos="864"/>
        </w:tabs>
        <w:ind w:left="864" w:hanging="432"/>
      </w:pPr>
      <w:rPr>
        <w:snapToGrid/>
        <w:sz w:val="24"/>
        <w:szCs w:val="24"/>
      </w:rPr>
    </w:lvl>
  </w:abstractNum>
  <w:abstractNum w:abstractNumId="6" w15:restartNumberingAfterBreak="0">
    <w:nsid w:val="04CC1BB3"/>
    <w:multiLevelType w:val="singleLevel"/>
    <w:tmpl w:val="1074C333"/>
    <w:lvl w:ilvl="0">
      <w:start w:val="6"/>
      <w:numFmt w:val="decimal"/>
      <w:lvlText w:val="%1."/>
      <w:lvlJc w:val="left"/>
      <w:pPr>
        <w:tabs>
          <w:tab w:val="num" w:pos="720"/>
        </w:tabs>
        <w:ind w:left="720" w:hanging="216"/>
      </w:pPr>
      <w:rPr>
        <w:snapToGrid/>
        <w:sz w:val="24"/>
        <w:szCs w:val="24"/>
      </w:rPr>
    </w:lvl>
  </w:abstractNum>
  <w:num w:numId="1">
    <w:abstractNumId w:val="0"/>
  </w:num>
  <w:num w:numId="2">
    <w:abstractNumId w:val="1"/>
  </w:num>
  <w:num w:numId="3">
    <w:abstractNumId w:val="5"/>
  </w:num>
  <w:num w:numId="4">
    <w:abstractNumId w:val="4"/>
  </w:num>
  <w:num w:numId="5">
    <w:abstractNumId w:val="2"/>
  </w:num>
  <w:num w:numId="6">
    <w:abstractNumId w:val="6"/>
  </w:num>
  <w:num w:numId="7">
    <w:abstractNumId w:val="3"/>
  </w:num>
  <w:num w:numId="8">
    <w:abstractNumId w:val="3"/>
    <w:lvlOverride w:ilvl="0">
      <w:lvl w:ilvl="0">
        <w:numFmt w:val="decimal"/>
        <w:lvlText w:val="%1."/>
        <w:lvlJc w:val="left"/>
        <w:pPr>
          <w:tabs>
            <w:tab w:val="num" w:pos="864"/>
          </w:tabs>
          <w:ind w:left="864" w:hanging="360"/>
        </w:pPr>
        <w:rPr>
          <w:snapToGrid/>
          <w:spacing w:val="-1"/>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5C84"/>
    <w:rsid w:val="00011156"/>
    <w:rsid w:val="002B5590"/>
    <w:rsid w:val="00544F3C"/>
    <w:rsid w:val="006A6948"/>
    <w:rsid w:val="007066A4"/>
    <w:rsid w:val="007A5C84"/>
    <w:rsid w:val="007C3A07"/>
    <w:rsid w:val="00870BC4"/>
    <w:rsid w:val="008F38A3"/>
    <w:rsid w:val="00B13E4E"/>
    <w:rsid w:val="00DF4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268048D-2B09-40E2-BFC6-1307A1E60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semiHidden/>
    <w:rsid w:val="00011156"/>
    <w:rPr>
      <w:b/>
      <w:bCs/>
      <w:caps/>
    </w:rPr>
  </w:style>
  <w:style w:type="paragraph" w:styleId="Header">
    <w:name w:val="header"/>
    <w:basedOn w:val="Normal"/>
    <w:link w:val="HeaderChar"/>
    <w:uiPriority w:val="99"/>
    <w:unhideWhenUsed/>
    <w:rsid w:val="007066A4"/>
    <w:pPr>
      <w:tabs>
        <w:tab w:val="center" w:pos="4680"/>
        <w:tab w:val="right" w:pos="9360"/>
      </w:tabs>
    </w:pPr>
  </w:style>
  <w:style w:type="character" w:customStyle="1" w:styleId="HeaderChar">
    <w:name w:val="Header Char"/>
    <w:link w:val="Header"/>
    <w:uiPriority w:val="99"/>
    <w:rsid w:val="007066A4"/>
    <w:rPr>
      <w:rFonts w:ascii="Times New Roman" w:hAnsi="Times New Roman" w:cs="Times New Roman"/>
      <w:sz w:val="20"/>
      <w:szCs w:val="20"/>
    </w:rPr>
  </w:style>
  <w:style w:type="paragraph" w:styleId="Footer">
    <w:name w:val="footer"/>
    <w:basedOn w:val="Normal"/>
    <w:link w:val="FooterChar"/>
    <w:uiPriority w:val="99"/>
    <w:unhideWhenUsed/>
    <w:rsid w:val="007066A4"/>
    <w:pPr>
      <w:tabs>
        <w:tab w:val="center" w:pos="4680"/>
        <w:tab w:val="right" w:pos="9360"/>
      </w:tabs>
    </w:pPr>
  </w:style>
  <w:style w:type="character" w:customStyle="1" w:styleId="FooterChar">
    <w:name w:val="Footer Char"/>
    <w:link w:val="Footer"/>
    <w:uiPriority w:val="99"/>
    <w:rsid w:val="007066A4"/>
    <w:rPr>
      <w:rFonts w:ascii="Times New Roman" w:hAnsi="Times New Roman" w:cs="Times New Roman"/>
      <w:sz w:val="20"/>
      <w:szCs w:val="20"/>
    </w:rPr>
  </w:style>
  <w:style w:type="paragraph" w:customStyle="1" w:styleId="FilePath">
    <w:name w:val="File Path"/>
    <w:basedOn w:val="Normal"/>
    <w:link w:val="FilePathChar"/>
    <w:qFormat/>
    <w:rsid w:val="007066A4"/>
    <w:pPr>
      <w:widowControl/>
      <w:autoSpaceDE/>
      <w:autoSpaceDN/>
      <w:adjustRightInd/>
      <w:spacing w:before="120"/>
      <w:jc w:val="both"/>
    </w:pPr>
    <w:rPr>
      <w:sz w:val="16"/>
      <w:lang w:eastAsia="zh-TW"/>
    </w:rPr>
  </w:style>
  <w:style w:type="character" w:customStyle="1" w:styleId="FilePathChar">
    <w:name w:val="File Path Char"/>
    <w:link w:val="FilePath"/>
    <w:rsid w:val="007066A4"/>
    <w:rPr>
      <w:rFonts w:ascii="Times New Roman" w:eastAsia="Times New Roman" w:hAnsi="Times New Roman" w:cs="Times New Roman"/>
      <w:sz w:val="16"/>
      <w:szCs w:val="20"/>
      <w:lang w:eastAsia="zh-TW"/>
    </w:rPr>
  </w:style>
  <w:style w:type="paragraph" w:styleId="BodyText">
    <w:name w:val="Body Text"/>
    <w:basedOn w:val="Normal"/>
    <w:link w:val="BodyTextChar"/>
    <w:qFormat/>
    <w:rsid w:val="007066A4"/>
    <w:pPr>
      <w:widowControl/>
      <w:autoSpaceDE/>
      <w:autoSpaceDN/>
      <w:adjustRightInd/>
      <w:spacing w:before="120" w:line="360" w:lineRule="auto"/>
      <w:ind w:firstLine="720"/>
      <w:jc w:val="both"/>
    </w:pPr>
    <w:rPr>
      <w:rFonts w:eastAsia="Calibri"/>
      <w:sz w:val="24"/>
      <w:szCs w:val="24"/>
    </w:rPr>
  </w:style>
  <w:style w:type="character" w:customStyle="1" w:styleId="BodyTextChar">
    <w:name w:val="Body Text Char"/>
    <w:link w:val="BodyText"/>
    <w:rsid w:val="007066A4"/>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Gonzales, Adriana</cp:lastModifiedBy>
  <cp:revision>10</cp:revision>
  <dcterms:created xsi:type="dcterms:W3CDTF">2017-05-09T20:33:00Z</dcterms:created>
  <dcterms:modified xsi:type="dcterms:W3CDTF">2017-05-16T16:15:00Z</dcterms:modified>
</cp:coreProperties>
</file>